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>
          <w:rFonts w:ascii="Arial" w:cs="Arial" w:eastAsia="Arial" w:hAnsi="Arial"/>
          <w:i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right"/>
        <w:rPr>
          <w:rFonts w:ascii="Arial" w:cs="Arial" w:eastAsia="Arial" w:hAnsi="Arial"/>
          <w:b w:val="0"/>
          <w:i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numPr>
          <w:ilvl w:val="0"/>
          <w:numId w:val="1"/>
        </w:numPr>
        <w:ind w:left="0" w:firstLine="0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vertAlign w:val="baseline"/>
          <w:rtl w:val="0"/>
        </w:rPr>
        <w:t xml:space="preserve">KARTA KURSU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7307.0" w:type="dxa"/>
        <w:jc w:val="left"/>
        <w:tblInd w:w="-139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000000" w:space="0" w:sz="0" w:val="nil"/>
          <w:insideH w:color="95b3d7" w:space="0" w:sz="4" w:val="single"/>
          <w:insideV w:color="000000" w:space="0" w:sz="0" w:val="nil"/>
        </w:tblBorders>
        <w:tblLayout w:type="fixed"/>
        <w:tblLook w:val="0000"/>
      </w:tblPr>
      <w:tblGrid>
        <w:gridCol w:w="1983"/>
        <w:gridCol w:w="7662"/>
        <w:gridCol w:w="7662"/>
        <w:tblGridChange w:id="0">
          <w:tblGrid>
            <w:gridCol w:w="1983"/>
            <w:gridCol w:w="7662"/>
            <w:gridCol w:w="7662"/>
          </w:tblGrid>
        </w:tblGridChange>
      </w:tblGrid>
      <w:tr>
        <w:trPr>
          <w:cantSplit w:val="0"/>
          <w:trHeight w:val="395" w:hRule="atLeast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19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spacing w:after="57" w:before="57" w:lineRule="auto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Nazwa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PRAKTYCZNA NAUKA JĘZYKA ROSYJSKIEGO </w:t>
              <w:br w:type="textWrapping"/>
              <w:t xml:space="preserve">(sprawności językowe) Studia drugiego stopnia II 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19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9" w:hRule="atLeast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19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spacing w:after="57" w:before="57" w:lineRule="auto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Nazwa w j. ang.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spacing w:after="60" w:before="60" w:lineRule="auto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Practical Learning of the Russian Language 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19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jc w:val="center"/>
        <w:rPr>
          <w:rFonts w:ascii="Arial" w:cs="Arial" w:eastAsia="Arial" w:hAnsi="Arial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45.0" w:type="dxa"/>
        <w:jc w:val="left"/>
        <w:tblInd w:w="-139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000000" w:space="0" w:sz="0" w:val="nil"/>
          <w:insideH w:color="95b3d7" w:space="0" w:sz="4" w:val="single"/>
          <w:insideV w:color="000000" w:space="0" w:sz="0" w:val="nil"/>
        </w:tblBorders>
        <w:tblLayout w:type="fixed"/>
        <w:tblLook w:val="0000"/>
      </w:tblPr>
      <w:tblGrid>
        <w:gridCol w:w="3187"/>
        <w:gridCol w:w="3190"/>
        <w:gridCol w:w="3268"/>
        <w:tblGridChange w:id="0">
          <w:tblGrid>
            <w:gridCol w:w="3187"/>
            <w:gridCol w:w="3190"/>
            <w:gridCol w:w="3268"/>
          </w:tblGrid>
        </w:tblGridChange>
      </w:tblGrid>
      <w:tr>
        <w:trPr>
          <w:cantSplit w:val="1"/>
          <w:tblHeader w:val="0"/>
        </w:trPr>
        <w:tc>
          <w:tcPr>
            <w:vMerge w:val="restart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Koordynator</w:t>
            </w:r>
          </w:p>
        </w:tc>
        <w:tc>
          <w:tcPr>
            <w:vMerge w:val="restart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auto" w:val="clear"/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Katedra Językoznawstwa Rosyjskiego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shd w:fill="dbe5f1" w:val="clear"/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Zespół dydaktyczny</w:t>
            </w:r>
          </w:p>
        </w:tc>
      </w:tr>
      <w:tr>
        <w:trPr>
          <w:cantSplit w:val="1"/>
          <w:trHeight w:val="344" w:hRule="atLeast"/>
          <w:tblHeader w:val="0"/>
        </w:trPr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auto" w:val="clear"/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Zgodnie z przydziałami zajęć dydaktycznych</w:t>
            </w:r>
          </w:p>
        </w:tc>
      </w:tr>
      <w:tr>
        <w:trPr>
          <w:cantSplit w:val="1"/>
          <w:trHeight w:val="57" w:hRule="atLeast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48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bottom w:color="95b3d7" w:space="0" w:sz="4" w:val="single"/>
            </w:tcBorders>
            <w:tcMar>
              <w:left w:w="54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Punktacja ECTS*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jc w:val="center"/>
        <w:rPr>
          <w:rFonts w:ascii="Arial" w:cs="Arial" w:eastAsia="Arial" w:hAnsi="Arial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>
          <w:rFonts w:ascii="Arial" w:cs="Arial" w:eastAsia="Arial" w:hAnsi="Arial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Opis kursu (cele kształcenia)</w:t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40.0" w:type="dxa"/>
        <w:jc w:val="left"/>
        <w:tblInd w:w="-142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95b3d7" w:space="0" w:sz="4" w:val="single"/>
          <w:insideH w:color="95b3d7" w:space="0" w:sz="4" w:val="single"/>
          <w:insideV w:color="95b3d7" w:space="0" w:sz="4" w:val="single"/>
        </w:tblBorders>
        <w:tblLayout w:type="fixed"/>
        <w:tblLook w:val="0000"/>
      </w:tblPr>
      <w:tblGrid>
        <w:gridCol w:w="9640"/>
        <w:tblGridChange w:id="0">
          <w:tblGrid>
            <w:gridCol w:w="9640"/>
          </w:tblGrid>
        </w:tblGridChange>
      </w:tblGrid>
      <w:tr>
        <w:trPr>
          <w:cantSplit w:val="0"/>
          <w:trHeight w:val="136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Celem zajęć jest: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formowanie umiejętności sprawnego posługiwania się językiem rosyjskim na poziomie zaawansowanym z zastosowaniem poprawnych struktur gramatycznych i leksykalnych; 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Osiągnięcie wysokiego stopnia kompetencji komunikacyjnej, odpowiadającej płynności językowej na poziomie zaawansowanym (C1 plus); 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opanowanie struktur syntaktycznych umożliwiających formułowanie złożonych wypowiedzi w formach pisemnej i ustnej;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kształtowanie umiejętności posługiwania się złożonymi strukturami leksykalno-gramatycznymi, szerokim zakresem zasobów leksykalnych (w tym niejednowyrazowych jednostek języka o charakterze idiomatycznym) umożliwiającym formułowanie poprawnych wypowiedzi w zakresie tematyki określonej </w:t>
              <w:br w:type="textWrapping"/>
              <w:t xml:space="preserve">w programie zajęć; 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- kształtowanie umiejętności w zakresie indywidualnej i grupowej form pracy;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formowanie nowych i utrwalenie nabytych nawyków poprawnego pisania (ortograficznych i interpunkcyjnych),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doskonalenie umiejętności redagowania zaawansowanych form komunikatów  pisemnych (wypracowań, rozprawek, charakterystyk, tłumaczeń dwujęzycznych) opartych o teksty źródłowe i pozyskane z mediów;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rozwijanie umiejętności komunikacji i pracy w grupie oraz właściwej postawy i odpowiedniego stosunku do zajęć;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rozwijanie indywidualnych strategii uczenia się, korzystanie z różnych źródeł informacji, m. in. różnego rodzaju słowników i poradników, czasopism, poradni i portali językowych (rosyjskich i polskich), zasobów audiowizualnych.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Warunki wstępne</w:t>
      </w:r>
    </w:p>
    <w:p w:rsidR="00000000" w:rsidDel="00000000" w:rsidP="00000000" w:rsidRDefault="00000000" w:rsidRPr="00000000" w14:paraId="00000031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40.0" w:type="dxa"/>
        <w:jc w:val="left"/>
        <w:tblInd w:w="-142.0" w:type="dxa"/>
        <w:tblBorders>
          <w:top w:color="95b3d7" w:space="0" w:sz="2" w:val="single"/>
          <w:left w:color="95b3d7" w:space="0" w:sz="2" w:val="single"/>
          <w:bottom w:color="95b3d7" w:space="0" w:sz="2" w:val="single"/>
          <w:right w:color="95b3d7" w:space="0" w:sz="2" w:val="single"/>
          <w:insideH w:color="95b3d7" w:space="0" w:sz="2" w:val="single"/>
          <w:insideV w:color="95b3d7" w:space="0" w:sz="2" w:val="single"/>
        </w:tblBorders>
        <w:tblLayout w:type="fixed"/>
        <w:tblLook w:val="0000"/>
      </w:tblPr>
      <w:tblGrid>
        <w:gridCol w:w="1941"/>
        <w:gridCol w:w="7699"/>
        <w:tblGridChange w:id="0">
          <w:tblGrid>
            <w:gridCol w:w="1941"/>
            <w:gridCol w:w="7699"/>
          </w:tblGrid>
        </w:tblGridChange>
      </w:tblGrid>
      <w:tr>
        <w:trPr>
          <w:cantSplit w:val="0"/>
          <w:trHeight w:val="550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Wiedza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rPr>
                <w:rFonts w:ascii="Tahoma" w:cs="Tahoma" w:eastAsia="Tahoma" w:hAnsi="Tahoma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Znajomość terminologii i zasad funkcjonowania podsystemów języka polskiego i rosyjskiego (na poziomie biegłości C1)</w:t>
            </w:r>
          </w:p>
        </w:tc>
      </w:tr>
      <w:tr>
        <w:trPr>
          <w:cantSplit w:val="0"/>
          <w:trHeight w:val="577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Umiejętności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Wykorzystanie wiedzy i umiejętności nabytych w trakcie nauki języka ojczystego oraz języka rosyjskiego na poziomach podstawowym i średnio zaawansowanym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Kursy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Praktyczna nauka języka rosyjskiego I-VI, SUM I </w:t>
            </w:r>
          </w:p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Efekty kształcenia </w:t>
      </w:r>
    </w:p>
    <w:p w:rsidR="00000000" w:rsidDel="00000000" w:rsidP="00000000" w:rsidRDefault="00000000" w:rsidRPr="00000000" w14:paraId="0000003C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650.0" w:type="dxa"/>
        <w:jc w:val="left"/>
        <w:tblInd w:w="-142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000000" w:space="0" w:sz="0" w:val="nil"/>
          <w:insideH w:color="95b3d7" w:space="0" w:sz="4" w:val="single"/>
          <w:insideV w:color="000000" w:space="0" w:sz="0" w:val="nil"/>
        </w:tblBorders>
        <w:tblLayout w:type="fixed"/>
        <w:tblLook w:val="0000"/>
      </w:tblPr>
      <w:tblGrid>
        <w:gridCol w:w="1979"/>
        <w:gridCol w:w="5296"/>
        <w:gridCol w:w="2375"/>
        <w:tblGridChange w:id="0">
          <w:tblGrid>
            <w:gridCol w:w="1979"/>
            <w:gridCol w:w="5296"/>
            <w:gridCol w:w="2375"/>
          </w:tblGrid>
        </w:tblGridChange>
      </w:tblGrid>
      <w:tr>
        <w:trPr>
          <w:cantSplit w:val="1"/>
          <w:trHeight w:val="930" w:hRule="atLeast"/>
          <w:tblHeader w:val="0"/>
        </w:trPr>
        <w:tc>
          <w:tcPr>
            <w:vMerge w:val="restart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Wiedza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Efekt kształcenia dla kursu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Odniesienie do efektów kierunkowych</w:t>
            </w:r>
          </w:p>
        </w:tc>
      </w:tr>
      <w:tr>
        <w:trPr>
          <w:cantSplit w:val="1"/>
          <w:trHeight w:val="1838" w:hRule="atLeast"/>
          <w:tblHeader w:val="0"/>
        </w:trPr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55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after="0" w:lineRule="auto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W01 – zna materiał językowy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  <w:rtl w:val="0"/>
              </w:rPr>
              <w:t xml:space="preserve"> z zakresu realizowanej tematyki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  <w:rtl w:val="0"/>
              </w:rPr>
              <w:t xml:space="preserve">W02 – zna zagadnienia akcentuacyjne, posiada wiedzę z zakresu poprawnej artykulacji i intonacji rosyjskiej niezbędną do kreowania komunikatów monologowo-dialogowych w języku rosyjskim</w:t>
            </w:r>
          </w:p>
          <w:p w:rsidR="00000000" w:rsidDel="00000000" w:rsidP="00000000" w:rsidRDefault="00000000" w:rsidRPr="00000000" w14:paraId="00000043">
            <w:pPr>
              <w:spacing w:after="60" w:lineRule="auto"/>
              <w:jc w:val="both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  <w:rtl w:val="0"/>
              </w:rPr>
              <w:t xml:space="preserve">W03 – id</w:t>
            </w:r>
            <w:r w:rsidDel="00000000" w:rsidR="00000000" w:rsidRPr="00000000">
              <w:rPr>
                <w:rFonts w:ascii="Tahoma" w:cs="Tahoma" w:eastAsia="Tahoma" w:hAnsi="Tahoma"/>
                <w:color w:val="000000"/>
                <w:sz w:val="20"/>
                <w:szCs w:val="20"/>
                <w:vertAlign w:val="baseline"/>
                <w:rtl w:val="0"/>
              </w:rPr>
              <w:t xml:space="preserve">entyfikuje zagadnienia z dziedziny podsystemów języka rosyjskiego, aktywnie posługuje się zasadami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  <w:rtl w:val="0"/>
              </w:rPr>
              <w:t xml:space="preserve">gramatycznymi, stylistycznymi, ortograficznymi i interpunkcyjnymi, umie uzasadniać stosowanie poszczeghólnych reguł oraz poprawiać błędy przywolując odpowiednie zasady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55.0" w:type="dxa"/>
            </w:tcMar>
            <w:vAlign w:val="top"/>
          </w:tcPr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650.0" w:type="dxa"/>
        <w:jc w:val="left"/>
        <w:tblInd w:w="-142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000000" w:space="0" w:sz="0" w:val="nil"/>
          <w:insideH w:color="95b3d7" w:space="0" w:sz="4" w:val="single"/>
          <w:insideV w:color="000000" w:space="0" w:sz="0" w:val="nil"/>
        </w:tblBorders>
        <w:tblLayout w:type="fixed"/>
        <w:tblLook w:val="0000"/>
      </w:tblPr>
      <w:tblGrid>
        <w:gridCol w:w="1985"/>
        <w:gridCol w:w="5243"/>
        <w:gridCol w:w="2422"/>
        <w:tblGridChange w:id="0">
          <w:tblGrid>
            <w:gridCol w:w="1985"/>
            <w:gridCol w:w="5243"/>
            <w:gridCol w:w="2422"/>
          </w:tblGrid>
        </w:tblGridChange>
      </w:tblGrid>
      <w:tr>
        <w:trPr>
          <w:cantSplit w:val="1"/>
          <w:trHeight w:val="939" w:hRule="atLeast"/>
          <w:tblHeader w:val="0"/>
        </w:trPr>
        <w:tc>
          <w:tcPr>
            <w:vMerge w:val="restart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Umiejętności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Efekt kształcenia dla kursu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Odniesienie do efektów kierunkowych</w:t>
            </w:r>
          </w:p>
        </w:tc>
      </w:tr>
      <w:tr>
        <w:trPr>
          <w:cantSplit w:val="1"/>
          <w:trHeight w:val="2116" w:hRule="atLeast"/>
          <w:tblHeader w:val="0"/>
        </w:trPr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55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U01 – ma umiejętności językowe w zakresie języka rosyjskiego na poziomie biegłości C1, zgodne z wymaganiami określonymi przez Europejski System Opisu Kształcenia Językowego </w:t>
            </w:r>
          </w:p>
          <w:tbl>
            <w:tblPr>
              <w:tblStyle w:val="Table7"/>
              <w:tblW w:w="5118.0" w:type="dxa"/>
              <w:jc w:val="left"/>
              <w:tblBorders>
                <w:top w:color="000000" w:space="0" w:sz="0" w:val="nil"/>
                <w:left w:color="000000" w:space="0" w:sz="0" w:val="nil"/>
                <w:bottom w:color="000000" w:space="0" w:sz="0" w:val="nil"/>
                <w:right w:color="000000" w:space="0" w:sz="0" w:val="nil"/>
                <w:insideH w:color="000000" w:space="0" w:sz="0" w:val="nil"/>
                <w:insideV w:color="000000" w:space="0" w:sz="0" w:val="nil"/>
              </w:tblBorders>
              <w:tblLayout w:type="fixed"/>
              <w:tblLook w:val="0000"/>
            </w:tblPr>
            <w:tblGrid>
              <w:gridCol w:w="5118"/>
              <w:tblGridChange w:id="0">
                <w:tblGrid>
                  <w:gridCol w:w="5118"/>
                </w:tblGrid>
              </w:tblGridChange>
            </w:tblGrid>
            <w:tr>
              <w:trPr>
                <w:cantSplit w:val="0"/>
                <w:trHeight w:val="606" w:hRule="atLeast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6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120" w:before="0" w:line="240" w:lineRule="auto"/>
                    <w:ind w:left="-36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U02 – posiada pogłębioną umiejętność przygotowania typowych prac pisemnych w języku rosyjskim o charakterze ogólnym, odnoszących się do różnych dziedzin życia, dotyczących zagadnień szczegółowych, z wykorzystaniem podstawowych ujęć teoretycznych, a także różnych źródeł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</w:p>
                <w:p w:rsidR="00000000" w:rsidDel="00000000" w:rsidP="00000000" w:rsidRDefault="00000000" w:rsidRPr="00000000" w14:paraId="0000006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12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U03 – posiada pogłębioną umiejętność przygotowania wystąpień ustnych w języku rosyjskim, dotyczących zagadnień szczegółowych, z wykorzystaniem podstawowych ujęć teoretycznych i różnych źródeł informacji; </w:t>
                  </w:r>
                </w:p>
                <w:p w:rsidR="00000000" w:rsidDel="00000000" w:rsidP="00000000" w:rsidRDefault="00000000" w:rsidRPr="00000000" w14:paraId="0000006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12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U04 – posiada kompetencje potrzebne do przekładu tekstów lub komunikatów ustnych w języku rosyjskim o charakterze ogólnym </w:t>
                  </w:r>
                </w:p>
                <w:p w:rsidR="00000000" w:rsidDel="00000000" w:rsidP="00000000" w:rsidRDefault="00000000" w:rsidRPr="00000000" w14:paraId="0000006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12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U05 – potrafi wyszukiwać, analizować, oceniać, selekcjonować i użytkować informację z wykorzystaniem źródeł rosyjskojęzycznych oraz polskojęzycznych, a także formułować na tej podstawie krytyczne sądy, przeprowadzić krytyczną analizę i interpretację tekstów, uwzględniając konteksty społeczny i kulturowy </w:t>
                  </w:r>
                </w:p>
                <w:tbl>
                  <w:tblPr>
                    <w:tblStyle w:val="Table8"/>
                    <w:tblW w:w="4902.0" w:type="dxa"/>
                    <w:jc w:val="left"/>
                    <w:tblBorders>
                      <w:top w:color="000000" w:space="0" w:sz="0" w:val="nil"/>
                      <w:left w:color="000000" w:space="0" w:sz="0" w:val="nil"/>
                      <w:bottom w:color="000000" w:space="0" w:sz="0" w:val="nil"/>
                      <w:right w:color="000000" w:space="0" w:sz="0" w:val="nil"/>
                      <w:insideH w:color="000000" w:space="0" w:sz="0" w:val="nil"/>
                      <w:insideV w:color="000000" w:space="0" w:sz="0" w:val="nil"/>
                    </w:tblBorders>
                    <w:tblLayout w:type="fixed"/>
                    <w:tblLook w:val="0000"/>
                  </w:tblPr>
                  <w:tblGrid>
                    <w:gridCol w:w="4666"/>
                    <w:gridCol w:w="236"/>
                    <w:tblGridChange w:id="0">
                      <w:tblGrid>
                        <w:gridCol w:w="4666"/>
                        <w:gridCol w:w="236"/>
                      </w:tblGrid>
                    </w:tblGridChange>
                  </w:tblGrid>
                  <w:tr>
                    <w:trPr>
                      <w:cantSplit w:val="0"/>
                      <w:trHeight w:val="226" w:hRule="atLeast"/>
                      <w:tblHeader w:val="0"/>
                    </w:trPr>
                    <w:tc>
                      <w:tcPr>
                        <w:vAlign w:val="top"/>
                      </w:tcPr>
                      <w:p w:rsidR="00000000" w:rsidDel="00000000" w:rsidP="00000000" w:rsidRDefault="00000000" w:rsidRPr="00000000" w14:paraId="00000068">
                        <w:pPr>
                          <w:keepNext w:val="0"/>
                          <w:keepLines w:val="0"/>
                          <w:pageBreakBefore w:val="0"/>
                          <w:widowControl w:val="1"/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after="0" w:before="0" w:line="240" w:lineRule="auto"/>
                          <w:ind w:left="0" w:right="0" w:firstLine="0"/>
                          <w:jc w:val="left"/>
                          <w:rPr>
                            <w:rFonts w:ascii="Arial" w:cs="Arial" w:eastAsia="Arial" w:hAnsi="Arial"/>
                            <w:b w:val="0"/>
                            <w:i w:val="0"/>
                            <w:smallCaps w:val="0"/>
                            <w:strike w:val="0"/>
                            <w:color w:val="000000"/>
                            <w:sz w:val="20"/>
                            <w:szCs w:val="20"/>
                            <w:u w:val="none"/>
                            <w:shd w:fill="auto" w:val="clear"/>
                            <w:vertAlign w:val="baseline"/>
                          </w:rPr>
                        </w:pPr>
                        <w:r w:rsidDel="00000000" w:rsidR="00000000" w:rsidRPr="00000000">
                          <w:rPr>
                            <w:rFonts w:ascii="Arial" w:cs="Arial" w:eastAsia="Arial" w:hAnsi="Arial"/>
                            <w:b w:val="0"/>
                            <w:i w:val="0"/>
                            <w:smallCaps w:val="0"/>
                            <w:strike w:val="0"/>
                            <w:color w:val="000000"/>
                            <w:sz w:val="20"/>
                            <w:szCs w:val="20"/>
                            <w:u w:val="none"/>
                            <w:shd w:fill="auto" w:val="clear"/>
                            <w:vertAlign w:val="baseline"/>
                            <w:rtl w:val="0"/>
                          </w:rPr>
                          <w:t xml:space="preserve">U06 – posiada umiejętność merytorycznego argumentowania, z wykorzystaniem własnych poglądów oraz poglądów innych autorów, formułowania wniosków oraz tworzenia syntetycznych podsumowań w języku rosyjskim, </w:t>
                        </w:r>
                      </w:p>
                      <w:p w:rsidR="00000000" w:rsidDel="00000000" w:rsidP="00000000" w:rsidRDefault="00000000" w:rsidRPr="00000000" w14:paraId="00000069">
                        <w:pPr>
                          <w:keepNext w:val="0"/>
                          <w:keepLines w:val="0"/>
                          <w:pageBreakBefore w:val="0"/>
                          <w:widowControl w:val="1"/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after="60" w:before="0" w:line="240" w:lineRule="auto"/>
                          <w:ind w:left="0" w:right="0" w:firstLine="0"/>
                          <w:jc w:val="left"/>
                          <w:rPr>
                            <w:rFonts w:ascii="Times New Roman" w:cs="Times New Roman" w:eastAsia="Times New Roman" w:hAnsi="Times New Roman"/>
                            <w:b w:val="0"/>
                            <w:i w:val="0"/>
                            <w:smallCaps w:val="0"/>
                            <w:strike w:val="0"/>
                            <w:color w:val="000000"/>
                            <w:sz w:val="22"/>
                            <w:szCs w:val="22"/>
                            <w:u w:val="none"/>
                            <w:shd w:fill="auto" w:val="clear"/>
                            <w:vertAlign w:val="baseline"/>
                          </w:rPr>
                        </w:pPr>
                        <w:r w:rsidDel="00000000" w:rsidR="00000000" w:rsidRPr="00000000">
                          <w:rPr>
                            <w:rFonts w:ascii="Arial" w:cs="Arial" w:eastAsia="Arial" w:hAnsi="Arial"/>
                            <w:b w:val="0"/>
                            <w:i w:val="0"/>
                            <w:smallCaps w:val="0"/>
                            <w:strike w:val="0"/>
                            <w:color w:val="000000"/>
                            <w:sz w:val="20"/>
                            <w:szCs w:val="20"/>
                            <w:u w:val="none"/>
                            <w:shd w:fill="auto" w:val="clear"/>
                            <w:vertAlign w:val="baseline"/>
                            <w:rtl w:val="0"/>
                          </w:rPr>
                          <w:t xml:space="preserve">posiada pogłębione umiejętności pozwalające na aktywne uczestnictwo w dyskusji na temat dziedzin nauk studiowanych w ramach specjalności filologia rosyjska </w:t>
                        </w: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</w:tc>
                    <w:tc>
                      <w:tcPr>
                        <w:vAlign w:val="top"/>
                      </w:tcPr>
                      <w:p w:rsidR="00000000" w:rsidDel="00000000" w:rsidP="00000000" w:rsidRDefault="00000000" w:rsidRPr="00000000" w14:paraId="0000006A">
                        <w:pPr>
                          <w:keepNext w:val="0"/>
                          <w:keepLines w:val="0"/>
                          <w:pageBreakBefore w:val="0"/>
                          <w:widowControl w:val="1"/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after="0" w:before="0" w:line="240" w:lineRule="auto"/>
                          <w:ind w:left="0" w:right="0" w:firstLine="0"/>
                          <w:jc w:val="left"/>
                          <w:rPr>
                            <w:rFonts w:ascii="Times New Roman" w:cs="Times New Roman" w:eastAsia="Times New Roman" w:hAnsi="Times New Roman"/>
                            <w:b w:val="0"/>
                            <w:i w:val="0"/>
                            <w:smallCaps w:val="0"/>
                            <w:strike w:val="0"/>
                            <w:color w:val="000000"/>
                            <w:sz w:val="22"/>
                            <w:szCs w:val="22"/>
                            <w:u w:val="none"/>
                            <w:shd w:fill="auto" w:val="clear"/>
                            <w:vertAlign w:val="baseline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</w:tc>
                  </w:tr>
                </w:tbl>
                <w:p w:rsidR="00000000" w:rsidDel="00000000" w:rsidP="00000000" w:rsidRDefault="00000000" w:rsidRPr="00000000" w14:paraId="0000006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-36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6C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  <w:rtl w:val="0"/>
              </w:rPr>
              <w:t xml:space="preserve">U07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potrafi, przestrzegając zasad stylistycznych, wybrać taktykę zachowań werbalnych w zależności od celów, zadań, czasu, miejsca komunikacji, statusu społecznego i kompetencji komunikatywnej rozmówcy 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55.0" w:type="dxa"/>
            </w:tcMar>
            <w:vAlign w:val="top"/>
          </w:tcPr>
          <w:p w:rsidR="00000000" w:rsidDel="00000000" w:rsidP="00000000" w:rsidRDefault="00000000" w:rsidRPr="00000000" w14:paraId="0000006D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E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650.0" w:type="dxa"/>
        <w:jc w:val="left"/>
        <w:tblInd w:w="-142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000000" w:space="0" w:sz="0" w:val="nil"/>
          <w:insideH w:color="95b3d7" w:space="0" w:sz="4" w:val="single"/>
          <w:insideV w:color="000000" w:space="0" w:sz="0" w:val="nil"/>
        </w:tblBorders>
        <w:tblLayout w:type="fixed"/>
        <w:tblLook w:val="0000"/>
      </w:tblPr>
      <w:tblGrid>
        <w:gridCol w:w="1985"/>
        <w:gridCol w:w="5243"/>
        <w:gridCol w:w="2422"/>
        <w:tblGridChange w:id="0">
          <w:tblGrid>
            <w:gridCol w:w="1985"/>
            <w:gridCol w:w="5243"/>
            <w:gridCol w:w="2422"/>
          </w:tblGrid>
        </w:tblGridChange>
      </w:tblGrid>
      <w:tr>
        <w:trPr>
          <w:cantSplit w:val="1"/>
          <w:trHeight w:val="800" w:hRule="atLeast"/>
          <w:tblHeader w:val="0"/>
        </w:trPr>
        <w:tc>
          <w:tcPr>
            <w:vMerge w:val="restart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Kompetencje społeczne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Efekt kształcenia dla kursu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Odniesienie do efektów kierunkowych</w:t>
            </w:r>
          </w:p>
        </w:tc>
      </w:tr>
      <w:tr>
        <w:trPr>
          <w:cantSplit w:val="1"/>
          <w:trHeight w:val="1984" w:hRule="atLeast"/>
          <w:tblHeader w:val="0"/>
        </w:trPr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55.0" w:type="dxa"/>
            </w:tcMar>
            <w:vAlign w:val="top"/>
          </w:tcPr>
          <w:p w:rsidR="00000000" w:rsidDel="00000000" w:rsidP="00000000" w:rsidRDefault="00000000" w:rsidRPr="00000000" w14:paraId="00000080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K01 – ma świadomość zakresu swojej wiedzy i posiadanych umiejętności oraz uznaje potrzebę ciągłego dokształcania się i rozwoju zawodowego 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K02 – ma świadomość wagi zdobywania i doskonalenia swojej kompetencji semiolingwistycznej 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K03 – potrafi współdziałać i pracować w grupie, przyjmując w niej różne role 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K04 – potrafi właściwie, skutecznie zaplanować swoje działania związane z wykonywaniem wybranego zawodu 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K05 – rozumie konieczność przestrzegania etyki wybranego zawodu i kieruje się jej zasadami </w:t>
            </w:r>
          </w:p>
          <w:p w:rsidR="00000000" w:rsidDel="00000000" w:rsidP="00000000" w:rsidRDefault="00000000" w:rsidRPr="00000000" w14:paraId="00000086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K06 – ma świadomość dziedzictwa kulturowego w jego różnorodności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55.0" w:type="dxa"/>
            </w:tcMar>
            <w:vAlign w:val="top"/>
          </w:tcPr>
          <w:p w:rsidR="00000000" w:rsidDel="00000000" w:rsidP="00000000" w:rsidRDefault="00000000" w:rsidRPr="00000000" w14:paraId="00000087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8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639.999999999998" w:type="dxa"/>
        <w:jc w:val="left"/>
        <w:tblInd w:w="-142.0" w:type="dxa"/>
        <w:tblBorders>
          <w:top w:color="95b3d7" w:space="0" w:sz="2" w:val="single"/>
          <w:left w:color="95b3d7" w:space="0" w:sz="2" w:val="single"/>
          <w:bottom w:color="95b3d7" w:space="0" w:sz="2" w:val="single"/>
          <w:right w:color="95b3d7" w:space="0" w:sz="2" w:val="single"/>
          <w:insideH w:color="95b3d7" w:space="0" w:sz="2" w:val="single"/>
          <w:insideV w:color="95b3d7" w:space="0" w:sz="2" w:val="single"/>
        </w:tblBorders>
        <w:tblLayout w:type="fixed"/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  <w:tblGridChange w:id="0">
          <w:tblGrid>
            <w:gridCol w:w="1611"/>
            <w:gridCol w:w="1225"/>
            <w:gridCol w:w="850"/>
            <w:gridCol w:w="272"/>
            <w:gridCol w:w="862"/>
            <w:gridCol w:w="315"/>
            <w:gridCol w:w="819"/>
            <w:gridCol w:w="284"/>
            <w:gridCol w:w="850"/>
            <w:gridCol w:w="284"/>
            <w:gridCol w:w="850"/>
            <w:gridCol w:w="284"/>
            <w:gridCol w:w="850"/>
            <w:gridCol w:w="284"/>
          </w:tblGrid>
        </w:tblGridChange>
      </w:tblGrid>
      <w:tr>
        <w:trPr>
          <w:cantSplit w:val="1"/>
          <w:trHeight w:val="424" w:hRule="atLeast"/>
          <w:tblHeader w:val="0"/>
        </w:trPr>
        <w:tc>
          <w:tcPr>
            <w:gridSpan w:val="14"/>
            <w:shd w:fill="dbe5f1" w:val="clear"/>
            <w:tcMar>
              <w:top w:w="28.0" w:type="dxa"/>
              <w:left w:w="28.0" w:type="dxa"/>
              <w:bottom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45" w:right="137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Organizacja</w:t>
            </w:r>
          </w:p>
        </w:tc>
      </w:tr>
      <w:tr>
        <w:trPr>
          <w:cantSplit w:val="1"/>
          <w:trHeight w:val="654" w:hRule="atLeast"/>
          <w:tblHeader w:val="0"/>
        </w:trPr>
        <w:tc>
          <w:tcPr>
            <w:vMerge w:val="restart"/>
            <w:shd w:fill="dbe5f1" w:val="clear"/>
            <w:vAlign w:val="cente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Forma zajęć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Wykład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(W)</w:t>
            </w:r>
          </w:p>
        </w:tc>
        <w:tc>
          <w:tcPr>
            <w:gridSpan w:val="12"/>
            <w:tcMar>
              <w:top w:w="28.0" w:type="dxa"/>
              <w:left w:w="28.0" w:type="dxa"/>
              <w:bottom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Ćwiczenia w grupach</w:t>
            </w:r>
          </w:p>
        </w:tc>
      </w:tr>
      <w:tr>
        <w:trPr>
          <w:cantSplit w:val="1"/>
          <w:trHeight w:val="477" w:hRule="atLeast"/>
          <w:tblHeader w:val="0"/>
        </w:trPr>
        <w:tc>
          <w:tcPr>
            <w:vMerge w:val="continue"/>
            <w:shd w:fill="dbe5f1" w:val="clear"/>
            <w:vAlign w:val="cente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8.0" w:type="dxa"/>
              <w:left w:w="28.0" w:type="dxa"/>
              <w:bottom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Liczba godzin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Mar>
              <w:top w:w="28.0" w:type="dxa"/>
              <w:left w:w="28.0" w:type="dxa"/>
              <w:bottom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Mar>
              <w:top w:w="28.0" w:type="dxa"/>
              <w:left w:w="28.0" w:type="dxa"/>
              <w:bottom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60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Mar>
              <w:top w:w="28.0" w:type="dxa"/>
              <w:left w:w="28.0" w:type="dxa"/>
              <w:bottom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Mar>
              <w:top w:w="28.0" w:type="dxa"/>
              <w:left w:w="28.0" w:type="dxa"/>
              <w:bottom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Opis metod prowadzenia zajęć</w:t>
      </w:r>
    </w:p>
    <w:p w:rsidR="00000000" w:rsidDel="00000000" w:rsidP="00000000" w:rsidRDefault="00000000" w:rsidRPr="00000000" w14:paraId="000000D5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632.0" w:type="dxa"/>
        <w:jc w:val="left"/>
        <w:tblInd w:w="-142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95b3d7" w:space="0" w:sz="4" w:val="single"/>
          <w:insideH w:color="95b3d7" w:space="0" w:sz="4" w:val="single"/>
          <w:insideV w:color="95b3d7" w:space="0" w:sz="4" w:val="single"/>
        </w:tblBorders>
        <w:tblLayout w:type="fixed"/>
        <w:tblLook w:val="0000"/>
      </w:tblPr>
      <w:tblGrid>
        <w:gridCol w:w="9632"/>
        <w:tblGridChange w:id="0">
          <w:tblGrid>
            <w:gridCol w:w="9632"/>
          </w:tblGrid>
        </w:tblGridChange>
      </w:tblGrid>
      <w:tr>
        <w:trPr>
          <w:cantSplit w:val="0"/>
          <w:trHeight w:val="1920" w:hRule="atLeast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55.0" w:type="dxa"/>
            </w:tcMar>
            <w:vAlign w:val="top"/>
          </w:tcPr>
          <w:p w:rsidR="00000000" w:rsidDel="00000000" w:rsidP="00000000" w:rsidRDefault="00000000" w:rsidRPr="00000000" w14:paraId="000000D6">
            <w:pPr>
              <w:widowControl w:val="1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  <w:highlight w:val="lightGray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widowControl w:val="1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  <w:rtl w:val="0"/>
              </w:rPr>
              <w:t xml:space="preserve">Metoda podająca: objaśnienie, wyjaśnienie, opis</w:t>
            </w:r>
          </w:p>
          <w:p w:rsidR="00000000" w:rsidDel="00000000" w:rsidP="00000000" w:rsidRDefault="00000000" w:rsidRPr="00000000" w14:paraId="000000D8">
            <w:pPr>
              <w:widowControl w:val="1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  <w:rtl w:val="0"/>
              </w:rPr>
              <w:t xml:space="preserve">Metoda eksponująca: załączniki CD, zasoby audiowizualne Internetu (filmy, nagrania video, TV programy) </w:t>
            </w:r>
          </w:p>
          <w:p w:rsidR="00000000" w:rsidDel="00000000" w:rsidP="00000000" w:rsidRDefault="00000000" w:rsidRPr="00000000" w14:paraId="000000D9">
            <w:pPr>
              <w:widowControl w:val="1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  <w:rtl w:val="0"/>
              </w:rPr>
              <w:t xml:space="preserve">Metoda praktyczna: ćwiczenia</w:t>
            </w:r>
          </w:p>
          <w:p w:rsidR="00000000" w:rsidDel="00000000" w:rsidP="00000000" w:rsidRDefault="00000000" w:rsidRPr="00000000" w14:paraId="000000DA">
            <w:pPr>
              <w:widowControl w:val="1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  <w:rtl w:val="0"/>
              </w:rPr>
              <w:t xml:space="preserve">Metoda gramatyczno-tłumaczeniowa: tłumaczenie ustne, pisemne w parach językowych polski-rosyjski, rosyjski-polski  </w:t>
            </w:r>
          </w:p>
          <w:p w:rsidR="00000000" w:rsidDel="00000000" w:rsidP="00000000" w:rsidRDefault="00000000" w:rsidRPr="00000000" w14:paraId="000000DB">
            <w:pPr>
              <w:widowControl w:val="1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Metoda komunikacyjna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Metoda projektów (indywidualnych i grupowych)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Formy sprawdzania efektów kształcenia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621.000000000002" w:type="dxa"/>
        <w:jc w:val="left"/>
        <w:tblInd w:w="-108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95b3d7" w:space="0" w:sz="4" w:val="single"/>
          <w:insideH w:color="95b3d7" w:space="0" w:sz="4" w:val="single"/>
          <w:insideV w:color="95b3d7" w:space="0" w:sz="4" w:val="single"/>
        </w:tblBorders>
        <w:tblLayout w:type="fixed"/>
        <w:tblLook w:val="000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  <w:tblGridChange w:id="0">
          <w:tblGrid>
            <w:gridCol w:w="962"/>
            <w:gridCol w:w="666"/>
            <w:gridCol w:w="666"/>
            <w:gridCol w:w="666"/>
            <w:gridCol w:w="666"/>
            <w:gridCol w:w="666"/>
            <w:gridCol w:w="666"/>
            <w:gridCol w:w="666"/>
            <w:gridCol w:w="666"/>
            <w:gridCol w:w="564"/>
            <w:gridCol w:w="769"/>
            <w:gridCol w:w="666"/>
            <w:gridCol w:w="666"/>
            <w:gridCol w:w="666"/>
          </w:tblGrid>
        </w:tblGridChange>
      </w:tblGrid>
      <w:tr>
        <w:trPr>
          <w:cantSplit w:val="1"/>
          <w:trHeight w:val="1616" w:hRule="atLeast"/>
          <w:tblHeader w:val="0"/>
        </w:trPr>
        <w:tc>
          <w:tcPr>
            <w:tcBorders>
              <w:bottom w:color="95b3d7" w:space="0" w:sz="4" w:val="single"/>
            </w:tcBorders>
            <w:shd w:fill="dbe5f1" w:val="clear"/>
            <w:vAlign w:val="center"/>
          </w:tcPr>
          <w:p w:rsidR="00000000" w:rsidDel="00000000" w:rsidP="00000000" w:rsidRDefault="00000000" w:rsidRPr="00000000" w14:paraId="000000E1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2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E – learning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3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Gry dydaktyczne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4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Ćwiczenia w szkole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5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Zajęcia terenowe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6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Praca laboratoryjna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7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Projekt indywidualny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8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Projekt grupowy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9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Udział w dyskusji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A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Referat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B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Praca pisemna (esej)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C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Egzamin ustny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D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Egzamin pisemny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E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Inne</w:t>
            </w:r>
          </w:p>
        </w:tc>
      </w:tr>
      <w:tr>
        <w:trPr>
          <w:cantSplit w:val="1"/>
          <w:trHeight w:val="244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W01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0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1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2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3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4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5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6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7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8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9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B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FD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W02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F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0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1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2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3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4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5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6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7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8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9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</w:tr>
      <w:tr>
        <w:trPr>
          <w:cantSplit w:val="1"/>
          <w:trHeight w:val="244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0B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W03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F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0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1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2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3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4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5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6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7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8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19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U01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A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B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D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E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F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0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1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2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3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4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5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6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27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U02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8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9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B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C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F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0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1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2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3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4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35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U03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6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7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8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9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A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B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F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0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1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2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43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U04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4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5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6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7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8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9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B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F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0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51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U05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2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3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4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5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6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7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8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9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B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5F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U06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0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1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2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3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4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5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6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7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8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9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B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6D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U07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E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F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0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1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2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3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4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5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6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7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8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9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7B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K01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C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F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0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1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2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3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4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5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6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7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8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89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K02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A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B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D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E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F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0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1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2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3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4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5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6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97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K03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8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9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B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C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F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0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1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2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3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4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A5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K04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6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7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8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9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A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B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F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0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1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2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B3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K05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4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5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6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7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8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9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B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F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0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C1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K06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2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3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4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5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6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7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8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9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B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645.0" w:type="dxa"/>
        <w:jc w:val="left"/>
        <w:tblInd w:w="-139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000000" w:space="0" w:sz="0" w:val="nil"/>
          <w:insideH w:color="95b3d7" w:space="0" w:sz="4" w:val="single"/>
          <w:insideV w:color="000000" w:space="0" w:sz="0" w:val="nil"/>
        </w:tblBorders>
        <w:tblLayout w:type="fixed"/>
        <w:tblLook w:val="0000"/>
      </w:tblPr>
      <w:tblGrid>
        <w:gridCol w:w="1941"/>
        <w:gridCol w:w="7704"/>
        <w:tblGridChange w:id="0">
          <w:tblGrid>
            <w:gridCol w:w="1941"/>
            <w:gridCol w:w="770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19.0" w:type="dxa"/>
            </w:tcMar>
            <w:vAlign w:val="center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Kryteria oceny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19.0" w:type="dxa"/>
            </w:tcMar>
            <w:vAlign w:val="top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Aktywny udział w zajęciach, systematycznie pogłębianie zdobywanej wiedzy praktycznej i teoretycznej, rozwijanie świadomości popełnianych błędów, nieustanne doskonalenie poprawności gramatycznej, ortograficznej, interpunkcyjnej oraz stylistycznej; indywidualny komentarz ze strony wykładowcy. Wszystkie efekty kształcenia sprawdzane są przez ćwiczenia pisemne i ustne, udział w dyskusjach i projektach undywidualnych i grupowych. </w:t>
            </w:r>
          </w:p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both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Zaliczenie semestru na podstawie ocen uzyskanych z prac domowych, z prac zaliczeniowych</w:t>
            </w:r>
          </w:p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• testy leksykalno-gramatyczne</w:t>
            </w:r>
          </w:p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• wypracowania </w:t>
            </w:r>
          </w:p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• dyktanda </w:t>
            </w:r>
          </w:p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• tłumaczenia zdań i zwartych tekstów.</w:t>
            </w:r>
          </w:p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Zaliczenie prac pisemnych na min. 70 % od przewidzianej w pracy ilości punktów (testy leksykalno-gramatyczne, dyktanda, tłumaczenia zdań i tekstów, wypracowania).</w:t>
            </w:r>
          </w:p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Dopuszczalna liczba nieobecności: 2. Kolejne 2 – student ma obowiązek zaliczyć materiał na konsultacjach. Powyżej 4 nieobecności na zajęciach skutkuje nie zaliczeniem semestru. </w:t>
            </w:r>
          </w:p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Uzyskanie zaliczenia jest warunkiem koniecznym do dopuszczenia do egzaminu.</w:t>
            </w:r>
          </w:p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Ocena pozytywna z egzaminu – po uzyskaniu min. 60% wymaganych punktów. </w:t>
            </w:r>
          </w:p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F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9645.0" w:type="dxa"/>
        <w:jc w:val="left"/>
        <w:tblInd w:w="-139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000000" w:space="0" w:sz="0" w:val="nil"/>
          <w:insideH w:color="95b3d7" w:space="0" w:sz="4" w:val="single"/>
          <w:insideV w:color="000000" w:space="0" w:sz="0" w:val="nil"/>
        </w:tblBorders>
        <w:tblLayout w:type="fixed"/>
        <w:tblLook w:val="0000"/>
      </w:tblPr>
      <w:tblGrid>
        <w:gridCol w:w="1941"/>
        <w:gridCol w:w="7704"/>
        <w:tblGridChange w:id="0">
          <w:tblGrid>
            <w:gridCol w:w="1941"/>
            <w:gridCol w:w="7704"/>
          </w:tblGrid>
        </w:tblGridChange>
      </w:tblGrid>
      <w:tr>
        <w:trPr>
          <w:cantSplit w:val="0"/>
          <w:trHeight w:val="1089" w:hRule="atLeast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19.0" w:type="dxa"/>
            </w:tcMar>
            <w:vAlign w:val="center"/>
          </w:tcPr>
          <w:p w:rsidR="00000000" w:rsidDel="00000000" w:rsidP="00000000" w:rsidRDefault="00000000" w:rsidRPr="00000000" w14:paraId="000001E1">
            <w:pPr>
              <w:spacing w:after="57" w:lineRule="auto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Uwagi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19.0" w:type="dxa"/>
            </w:tcMar>
            <w:vAlign w:val="top"/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4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Treści merytoryczne (wykaz tematów)</w:t>
      </w:r>
    </w:p>
    <w:p w:rsidR="00000000" w:rsidDel="00000000" w:rsidP="00000000" w:rsidRDefault="00000000" w:rsidRPr="00000000" w14:paraId="000001ED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622.0" w:type="dxa"/>
        <w:jc w:val="left"/>
        <w:tblInd w:w="-142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95b3d7" w:space="0" w:sz="4" w:val="single"/>
          <w:insideH w:color="95b3d7" w:space="0" w:sz="4" w:val="single"/>
          <w:insideV w:color="95b3d7" w:space="0" w:sz="4" w:val="single"/>
        </w:tblBorders>
        <w:tblLayout w:type="fixed"/>
        <w:tblLook w:val="0000"/>
      </w:tblPr>
      <w:tblGrid>
        <w:gridCol w:w="9622"/>
        <w:tblGridChange w:id="0">
          <w:tblGrid>
            <w:gridCol w:w="9622"/>
          </w:tblGrid>
        </w:tblGridChange>
      </w:tblGrid>
      <w:tr>
        <w:trPr>
          <w:cantSplit w:val="0"/>
          <w:trHeight w:val="113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EE">
            <w:pPr>
              <w:spacing w:after="60" w:lineRule="auto"/>
              <w:rPr>
                <w:rFonts w:ascii="Tahoma" w:cs="Tahoma" w:eastAsia="Tahoma" w:hAnsi="Tahoma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TREŚCI I KOMPETENCJE W ZAKRESIE KOMUNIKACJI WERBALNEJ (C1)</w:t>
            </w:r>
          </w:p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Intencje. Sytuacje i tematy komunikacji</w:t>
            </w:r>
          </w:p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Intencje i taktyki zachowań werbalnych w sytuacjach oficjalnej / nieoficjalnej, bezpośredniej / pośredniej komunikacji (1) nawiązywania kontaktów 2) regulacyjne, 3) informacyjne i 4) ewaluacyjne)</w:t>
            </w:r>
          </w:p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w sferze społeczno-obyczajowej (z zaspokojeniem osobistych potrzeb obyczajowych poza działalnością zawodową; przy jednoczesnym zaspokajaniu potrzeb w sferze interesów publicznych w ramach nieformalnej komunikacji);</w:t>
            </w:r>
          </w:p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w sferze społeczno-kulturowej (z zaspokajaniem potrzeb estetycznych i poznawczych, w postrzeganiu i omawianiu dzieł literatury i sztuki, w zaspokajaniu potrzeb społecznych (moralno-etycznych, społeczno-politycznych itp.);</w:t>
            </w:r>
          </w:p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w sferze oficjalno-urzędowej (z zaspokajaniem potrzeb społecznych w komunikacji z przedstawicielami instytucji administracyjnych, państwowych, społecznych oraz organizacjami)</w:t>
            </w:r>
          </w:p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Skomplikowane formy etykiety językowej </w:t>
            </w:r>
          </w:p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Komplement, zachęta, uprzejmość, współczucie, kondolencje, życzenie, skarga, żądanie, naleganie, pouczenie, przypomnienie, ostrzeżenie, przestroga, protest, sprzeciw, zakaz, zwątpienie, uchylanie się, odmowa, obietnica, przyznanie się błędu, wyrażenie racjonalnej oceny sytuacji, prawdopodobieństwa / nieprawdopodobieństwa i in. </w:t>
            </w:r>
          </w:p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Sposoby i formy wyrażania stanów emocjonalnych </w:t>
            </w:r>
          </w:p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Przyjemność / niezadowolenie, zaskoczenie, ciekawość, obojętność, zachwyt, rozczarowanie, irytacja, radość / smutek, zainteresowanie, zakłopotanie, zaniepokojenie, obawa, nadzieja i in. </w:t>
            </w:r>
          </w:p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MINIMUM LEKSYKALNE </w:t>
            </w:r>
          </w:p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 poziomie C1 wynosi 12000 jednostek (komunikacja w ramach minimalnych standardów tematycznych i intencjonalnych, aktywna część słownika to 7000 jednostek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Pierwszy krąg tematyczny (sfera relacji międzyludzkich, realizacja osobistych zainteresowań mówiącego)</w:t>
            </w:r>
          </w:p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Czas wolny: kultura, sztuka, podróże, formy aktywnego wypoczynku</w:t>
            </w:r>
          </w:p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Drugi krąg tematyczny (sfera potrzeb społecznych mówiącego)</w:t>
              <w:br w:type="textWrapping"/>
              <w:t xml:space="preserve">Muzea w Rosji i na świecie</w:t>
              <w:br w:type="textWrapping"/>
              <w:t xml:space="preserve">Turystyka: podróże po parkach narodowych  i rezerwatach Rosji (aspekt krajoznawczo-językowy)</w:t>
            </w:r>
          </w:p>
          <w:p w:rsidR="00000000" w:rsidDel="00000000" w:rsidP="00000000" w:rsidRDefault="00000000" w:rsidRPr="00000000" w14:paraId="000001FF">
            <w:pPr>
              <w:rPr>
                <w:rFonts w:ascii="Tahoma" w:cs="Tahoma" w:eastAsia="Tahoma" w:hAnsi="Tahoma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Trzeci krąg tematyczny (ogólne zagadnienia humanistyczne)</w:t>
            </w:r>
          </w:p>
          <w:p w:rsidR="00000000" w:rsidDel="00000000" w:rsidP="00000000" w:rsidRDefault="00000000" w:rsidRPr="00000000" w14:paraId="00000200">
            <w:pPr>
              <w:rPr>
                <w:rFonts w:ascii="Tahoma" w:cs="Tahoma" w:eastAsia="Tahoma" w:hAnsi="Tahoma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Sztuka monumentalna, architektura i urbanistyka)</w:t>
              <w:br w:type="textWrapping"/>
              <w:t xml:space="preserve">Obiekty Światowego Dziedzictwa UNESCO</w:t>
              <w:br w:type="textWrapping"/>
              <w:t xml:space="preserve">Arcydzieła rosyjskiej i światowej kultury muzycznej</w:t>
              <w:br w:type="textWrapping"/>
              <w:t xml:space="preserve">Teatr</w:t>
              <w:br w:type="textWrapping"/>
              <w:t xml:space="preserve">Balet</w:t>
              <w:br w:type="textWrapping"/>
              <w:t xml:space="preserve">Uczestnictwo w wydarzeniach kulturalnych</w:t>
            </w:r>
          </w:p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Tematy opracowywane są z punktu widzenia opanowania potencjału leksykalnego, co pozwala mówić o walorach artystycznych dzieł sztuki: plastycznej, muzycznej i teatralnej, pozwalając na krytyczne komentarze w kręgu twórczości artystycznej, aby dyskutować o problemach kultury masowej, o wolności autora dotyczącej twórczego samowyrażania się i rozumienia sztuki.</w:t>
            </w:r>
          </w:p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KOMPETENCJE JĘZYKOWE (C1)</w:t>
            </w:r>
          </w:p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Norma fonetyczna i intonacyjna języka rosyjskiego</w:t>
            </w:r>
          </w:p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Normy ortoepiczne we współczesnym języku rosyjskim (fakultatywne i niefakultatywne) </w:t>
            </w:r>
          </w:p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Akcentologiczne właściwości zapożyczeń w języku rosyjskim </w:t>
            </w:r>
          </w:p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Akcentologiczne właściwości wyrazów z akcentem głównym i pobocznym</w:t>
            </w:r>
          </w:p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Typy intonacji (zgoda, zdziwienie, rozczarowanie, rozrzewnienie itd.)</w:t>
            </w:r>
          </w:p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Konstrukcje intonacyjne (KI-5, KI-6, KI-7) w zdaniach emocjonalnie nacechowanych – oceniających.</w:t>
            </w:r>
          </w:p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Słowotwórstwo. Morfologia (z uwzględnieniem aspektów ortograficznych)</w:t>
            </w:r>
          </w:p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Semantyczny i stylistyczny potencjał afiksów.</w:t>
            </w:r>
          </w:p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Charakterystyka słowotwórcza rzeczowników (w tym formacji ekspresywnych).</w:t>
            </w:r>
          </w:p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Charakterystyka słowotwórcza rzeczowników złożonych.</w:t>
              <w:br w:type="textWrapping"/>
              <w:t xml:space="preserve">Substantywizacja – cechy słowotwórcze</w:t>
              <w:br w:type="textWrapping"/>
              <w:t xml:space="preserve">Charakterystyka słowotwórcza przymiotników z sufiksami: -ан-/-ян-,-енн-,-онн-,-н-,-ов-,-тель-н-,-еньк-/-оньк-,-оват- itp.</w:t>
              <w:br w:type="textWrapping"/>
              <w:t xml:space="preserve">Charakterystyka słowotwórcza czasowników (prefiksy i sufiksy formo- i słowotwórcze).</w:t>
            </w:r>
          </w:p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Modele słowotwórcze czasowników (до-..-ся; в-..-ся; на-..-ся; пере-..-ся; рас-..-ся).  </w:t>
            </w:r>
          </w:p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Charakterystyka słowotwórcza przysłówków (na -ой, -ом, -ью, -а, -е, -и,-о); z afiksami не (не-), ни (ни-); -то, -нибудь, - либо, кое-).  </w:t>
            </w:r>
          </w:p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Rzeczownik. Klasyfikacja leksykalno-gramatyczna (ożywione-nieożywione, własne-pospolite, abstrakcyjne-konkretne, zbiorowe-substancjalne). Skomplikowane przypadki określenia rodzaju, liczby rzeczowników. Konstrukcje przyimkowe i bezprzyimkowe rzeczownika   </w:t>
            </w:r>
          </w:p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Przymiotnik. Formy pełne i krótkie przymiotnika. Odmiana przymiotników, związek zgody z rzeczownikami. Składnia rządu form pełnych i krótkich przymiotnika. </w:t>
            </w:r>
          </w:p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Zaimek. Znaczenie, użycie i odmiana.</w:t>
            </w:r>
          </w:p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Czasownik. Bezokolicznik i forma osobowa. Kategoria aspektu, strony, trybu, czasu, liczby, osoby. Czasowniki przechodnie / nieprzechodnie, zwrotne, formy bezosobowe. </w:t>
            </w:r>
          </w:p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Rekcja czasownika. Imiesłowy (przymiotnikowy, przysłówkowy)</w:t>
            </w:r>
          </w:p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Liczebnik. Liczebniki zbiorowe w zdaniu. Związki składniowe liczebników. </w:t>
            </w:r>
          </w:p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Nieodmienne części mowy. Przyimki złożone – zastosowanie i zasady pisowni. Spójniki w zdaniach złożonych nadrzędnie i podrzędnie (semantyka, synonimia, aspekty stylistyczne). Partykuły (semantyka, synonimia, zasady pisowni).</w:t>
            </w:r>
          </w:p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Praca systematyczna nad poprawnością ortograficzną, umiejętnością dostrzegania problemów ortograficznychnego (czyli stanu wątpliwości co do postaci graficznej wyrazu i umiejętności jej rozstrzygnięcia), rozwijaniem poprawnego ortograficznie pisania i stałej kontroli przez zróżnicowane ćwiczenia. </w:t>
            </w:r>
          </w:p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Składnia zdania prostego</w:t>
            </w:r>
          </w:p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Zdania oznajmujące (orzekające), pytające, motywujące, twierdzące, przeczące. Modele dwuczłonowe. Modele jednoczłonowe. Podmiot i orzeczenie w zdaniu. Związek zgody podmiotu i orzeczenia. Sposoby wyrażania podmiotu gramatycznego i logicznego, zasady związku zgody podmiotu gramatycznego i orzecznika. Relacje logiczno-semantyczne w zdaniu (przedmiotowe, przydawkowy, okolicznikowe).</w:t>
            </w:r>
          </w:p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Modalność w zdaniu (w tym wyrażanie wartości modalnych poprzez użycie wtrąceń i związków wyrazowych)</w:t>
            </w:r>
          </w:p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Transformacja jednostek syntaktycznych różnych typów i poziomów, w tym zasad transformacji </w:t>
              <w:br w:type="textWrapping"/>
              <w:t xml:space="preserve">konstrukcji czynnych i biernych</w:t>
            </w:r>
          </w:p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Aktualne rozczłonkowanie zdania. Inwersja.</w:t>
            </w:r>
          </w:p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Znaki przestankowe w zdaniu prostym. Znaki zakończenia zdań. Znaki przestankowe w zdaniach prostych, z wtrąceniami, zwrotami, uściśleniami, jednorodnymi częściami zdania (z uogólnieniami lub bez), wyodrębnionymi przydawkami i okolicznikami, wyrażonymi zwrotami z imiesłowami przymiotnikowymi i przysłówkowymi.</w:t>
            </w:r>
          </w:p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Składnia zdania złożonego</w:t>
            </w:r>
          </w:p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Zdania współrzędnie złożone:  łączne, przeciwstawne, rozłączne, porównawcze i inne. Zdania podrzędnie złożone: orzecznikowe, przydawkowe, okolicznikowe, warunkowe, przyczynowo-skutkowe, celu, przyzwolenia. Spójniki, wyrażenia spójnikowe w zdaniach złożonych różnego typu. Użycie różnych form czasu i trybu orzeczenia czasownikowego w zdaniach różnego typu. Znaki przestankowe w zdaniach współrzędnie złożonych i podrzędnie złożonych zdaniach różnego typu.</w:t>
            </w:r>
          </w:p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Złożone konstrukcje syntaktyczne</w:t>
            </w:r>
          </w:p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Zdania z różnymi typami połączeń. Sposoby wyrażania „mowy obcej”.</w:t>
              <w:br w:type="textWrapping"/>
              <w:t xml:space="preserve">Mowa niezależna i zależna. Znaki przestankowe w złożonych konstrukcjach składniowych.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6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7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8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Wykaz literatury podstawowej</w:t>
      </w:r>
    </w:p>
    <w:p w:rsidR="00000000" w:rsidDel="00000000" w:rsidP="00000000" w:rsidRDefault="00000000" w:rsidRPr="00000000" w14:paraId="00000229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622.0" w:type="dxa"/>
        <w:jc w:val="left"/>
        <w:tblInd w:w="-142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95b3d7" w:space="0" w:sz="4" w:val="single"/>
          <w:insideH w:color="95b3d7" w:space="0" w:sz="4" w:val="single"/>
          <w:insideV w:color="95b3d7" w:space="0" w:sz="4" w:val="single"/>
        </w:tblBorders>
        <w:tblLayout w:type="fixed"/>
        <w:tblLook w:val="0000"/>
      </w:tblPr>
      <w:tblGrid>
        <w:gridCol w:w="9622"/>
        <w:tblGridChange w:id="0">
          <w:tblGrid>
            <w:gridCol w:w="9622"/>
          </w:tblGrid>
        </w:tblGridChange>
      </w:tblGrid>
      <w:tr>
        <w:trPr>
          <w:cantSplit w:val="0"/>
          <w:trHeight w:val="109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Требования стандарта ТРКИ  С1 / С2 </w:t>
            </w:r>
          </w:p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http://gct.msu.ru/testirovanie/testirovanie-trki/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http://gct.msu.ru/docs/C1_test.pdf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hyperlink r:id="rId9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http://gct.msu.ru/docs/C1_standart.pdf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hyperlink r:id="rId10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http://gct.msu.ru/docs/C2_test.pdf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Образовательный стандарт по русскому языку как иностранному. III уровень. Общее владение. Москва – Санкт-Петербург (изд. «Златоуст»), 1999. </w:t>
            </w:r>
          </w:p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Типовой тест по русскому языку как иностранному. III сертификационный уровень. Москва – Санкт-Петербург (изд. «Златоуст»), 2000. </w:t>
            </w:r>
          </w:p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Тренировочные тесты по русскому языку как иностранному. III сертификационный уровень. Андрюшина Н.П. и др. Санкт-Петербург (изд. «Златоуст»), 2010.  </w:t>
            </w:r>
          </w:p>
          <w:p w:rsidR="00000000" w:rsidDel="00000000" w:rsidP="00000000" w:rsidRDefault="00000000" w:rsidRPr="00000000" w14:paraId="000002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Окно в Россию: учебное пособие по русскому языку как иностранному для продвинутого этапа </w:t>
              <w:br w:type="textWrapping"/>
              <w:t xml:space="preserve">(B2-C1). В 2-х частях. Скороходов Л. и др. Санкт-Петербург (изд. «Златоуст»), 2010.  </w:t>
            </w:r>
          </w:p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А. Родимкина, Н. Ландсман. Россия: день сегодняшний. Тексты и упражнения. Warszawa, 2005. </w:t>
            </w:r>
          </w:p>
          <w:p w:rsidR="00000000" w:rsidDel="00000000" w:rsidP="00000000" w:rsidRDefault="00000000" w:rsidRPr="00000000" w14:paraId="000002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hyperlink r:id="rId11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Остановка: Россия!  Magazyn dla uczących się języka rosyjskiego. Вып. 1-22. </w:t>
              </w:r>
            </w:hyperlink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Содержание номеров: </w:t>
            </w:r>
            <w:hyperlink r:id="rId12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http://www.ostanowka.pl/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Правила русской орфографии и пунктуации. Полный академический справочник Института русского языка им. В. В. Виноградова РАН (отв. ред. В.В. Лопатин). М., 2006. </w:t>
            </w:r>
          </w:p>
          <w:p w:rsidR="00000000" w:rsidDel="00000000" w:rsidP="00000000" w:rsidRDefault="00000000" w:rsidRPr="00000000" w14:paraId="000002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Русский  орфографический словарь (под ред. В.В. Лопатина, ок. 200000 слов). М., 2005</w:t>
            </w:r>
          </w:p>
          <w:p w:rsidR="00000000" w:rsidDel="00000000" w:rsidP="00000000" w:rsidRDefault="00000000" w:rsidRPr="00000000" w14:paraId="000002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Справочно-информационный портал  ГРАМОТА.РУ (</w:t>
            </w:r>
            <w:hyperlink r:id="rId13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http://gramota.ru</w:t>
              </w:r>
            </w:hyperlink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) </w:t>
              <w:br w:type="textWrapping"/>
              <w:t xml:space="preserve">КЛАСС: репетитор онлайн, интерактивный диктант, учебник грамоты: орфография (с упражнениями), учебник грамоты: пунктуация </w:t>
            </w:r>
          </w:p>
          <w:p w:rsidR="00000000" w:rsidDel="00000000" w:rsidP="00000000" w:rsidRDefault="00000000" w:rsidRPr="00000000" w14:paraId="000002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Научно-информационный «Орфографический академический ресурс АКАДЕМОС» </w:t>
              <w:br w:type="textWrapping"/>
              <w:t xml:space="preserve">Института русского языка им. В.В. Виноградова РАН </w:t>
            </w:r>
            <w:hyperlink r:id="rId14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http://orfo.ruslang.ru/abc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Розенталь Д.Э.  750 упражнений по русскому языку с ответами для поступающих в вузы. М., 2003.   </w:t>
            </w:r>
          </w:p>
          <w:p w:rsidR="00000000" w:rsidDel="00000000" w:rsidP="00000000" w:rsidRDefault="00000000" w:rsidRPr="00000000" w14:paraId="000002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Розенталь Д. Э. Русский язык: Пособие для поступающих в вузы. Москва (изд. МГУ), 1994. </w:t>
            </w:r>
          </w:p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Валгина Н.С., Светлышева В.Н. Русский язык. Орфография и пунктуация. Правила и упражнения: учебное пособие. Москва, 2000. </w:t>
            </w:r>
          </w:p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Греков  В.Ф., Крючков С.Е., Чешко Л.А.  Русский язык (10-11 классы) </w:t>
            </w:r>
          </w:p>
          <w:p w:rsidR="00000000" w:rsidDel="00000000" w:rsidP="00000000" w:rsidRDefault="00000000" w:rsidRPr="00000000" w14:paraId="000002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Интернет-ресурс (проекция упражнений по стилистике, лексике, орфографии и пунктуации): </w:t>
            </w:r>
            <w:hyperlink r:id="rId15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https://gdz.ru/gdz/class-10/russkii_yazik/grekov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E">
            <w:pPr>
              <w:rPr>
                <w:rFonts w:ascii="Tahoma" w:cs="Tahoma" w:eastAsia="Tahoma" w:hAnsi="Tahoma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0"/>
                <w:szCs w:val="20"/>
                <w:vertAlign w:val="baseline"/>
                <w:rtl w:val="0"/>
              </w:rPr>
              <w:t xml:space="preserve">    Михеева Л. Серия «Методические тетради». Экспериментальные материалы для обучения </w:t>
              <w:br w:type="textWrapping"/>
              <w:t xml:space="preserve">    пунктуации русского языка. Краков, UP, 2012.  </w:t>
            </w:r>
          </w:p>
          <w:p w:rsidR="00000000" w:rsidDel="00000000" w:rsidP="00000000" w:rsidRDefault="00000000" w:rsidRPr="00000000" w14:paraId="000002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Zasoby internetowe (dostępne na portalach: </w:t>
            </w:r>
            <w:hyperlink r:id="rId16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http://tvkultura.ru</w:t>
              </w:r>
            </w:hyperlink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 </w:t>
            </w:r>
            <w:hyperlink r:id="rId17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https://www.youtube.com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hyperlink r:id="rId18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http://gramota.ru/class/video/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Киножурнал «Ералаш» (Вып. 1-200) (забавные сюжеты из жизни российских школьников - носителей разговорного языка, просторечной и жаргонной лексики). </w:t>
            </w:r>
          </w:p>
          <w:p w:rsidR="00000000" w:rsidDel="00000000" w:rsidP="00000000" w:rsidRDefault="00000000" w:rsidRPr="00000000" w14:paraId="000002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«Русский язык. Классная работа» (видеопроект, участники которого (школьники) объясняют идиомы,  значения жаргонных и просторечных слов, подбирают слова к трудным ситуациям общения) </w:t>
            </w:r>
          </w:p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«Третьяковка – дар бесценный» (цикл видеофильмов о шедеврах ТГ).  </w:t>
            </w:r>
          </w:p>
          <w:p w:rsidR="00000000" w:rsidDel="00000000" w:rsidP="00000000" w:rsidRDefault="00000000" w:rsidRPr="00000000" w14:paraId="000002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«Семь тайн Третьяковской галереи» (видеофильм, посвященный загадкам семи картин ТГ) </w:t>
            </w:r>
          </w:p>
          <w:p w:rsidR="00000000" w:rsidDel="00000000" w:rsidP="00000000" w:rsidRDefault="00000000" w:rsidRPr="00000000" w14:paraId="000002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«Сати. Нескучная классика» (цикл программ Сати Спиваковой в форме встреч с известными композиторами, музыкальными критиками, исполнителями, в том числе  вокального и танцевального репертуара)   </w:t>
            </w:r>
          </w:p>
          <w:p w:rsidR="00000000" w:rsidDel="00000000" w:rsidP="00000000" w:rsidRDefault="00000000" w:rsidRPr="00000000" w14:paraId="000002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«Абсолютный слух» (альманах Геннадия Янина по истории музыкальной культуры)  </w:t>
            </w:r>
          </w:p>
          <w:p w:rsidR="00000000" w:rsidDel="00000000" w:rsidP="00000000" w:rsidRDefault="00000000" w:rsidRPr="00000000" w14:paraId="000002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«Билет в Большой» («Монологи о себе», рубрика представляет солистов БТ) </w:t>
            </w:r>
          </w:p>
          <w:p w:rsidR="00000000" w:rsidDel="00000000" w:rsidP="00000000" w:rsidRDefault="00000000" w:rsidRPr="00000000" w14:paraId="000002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«АКАДЕМИЯ» (популярные лекции российских ученых - специалистов в разных областях науки) </w:t>
            </w:r>
          </w:p>
          <w:p w:rsidR="00000000" w:rsidDel="00000000" w:rsidP="00000000" w:rsidRDefault="00000000" w:rsidRPr="00000000" w14:paraId="000002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«Черные дыры. Белые пятна» (программа, включающая занимательные сюжеты о явлениях науки, культуры, языка) </w:t>
            </w:r>
          </w:p>
          <w:p w:rsidR="00000000" w:rsidDel="00000000" w:rsidP="00000000" w:rsidRDefault="00000000" w:rsidRPr="00000000" w14:paraId="000002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«Пешком» (рассказчик и краевед М. Жебрак приглашает на прогулку по заповедным уголкам Москвы и других городов России)</w:t>
            </w:r>
          </w:p>
          <w:p w:rsidR="00000000" w:rsidDel="00000000" w:rsidP="00000000" w:rsidRDefault="00000000" w:rsidRPr="00000000" w14:paraId="000002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«Линия жизни» (цикл интерактивных встреч с российскими учеными, литераторами, театральными деятелями, музыкантами, актерами)  </w:t>
            </w:r>
          </w:p>
          <w:p w:rsidR="00000000" w:rsidDel="00000000" w:rsidP="00000000" w:rsidRDefault="00000000" w:rsidRPr="00000000" w14:paraId="000002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«Кто там» (неформальные встречи с российскими деятелями культуры и искусства) </w:t>
            </w:r>
          </w:p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«Белая студия» (беседы Дарьи Златопольской с теми, кто формирует сегодняшнюю культурную составляющую России)  </w:t>
            </w:r>
          </w:p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1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2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Wykaz literatury uzupełniającej</w:t>
      </w:r>
    </w:p>
    <w:p w:rsidR="00000000" w:rsidDel="00000000" w:rsidP="00000000" w:rsidRDefault="00000000" w:rsidRPr="00000000" w14:paraId="00000253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9622.0" w:type="dxa"/>
        <w:jc w:val="left"/>
        <w:tblInd w:w="-142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95b3d7" w:space="0" w:sz="4" w:val="single"/>
          <w:insideH w:color="95b3d7" w:space="0" w:sz="4" w:val="single"/>
          <w:insideV w:color="95b3d7" w:space="0" w:sz="4" w:val="single"/>
        </w:tblBorders>
        <w:tblLayout w:type="fixed"/>
        <w:tblLook w:val="0000"/>
      </w:tblPr>
      <w:tblGrid>
        <w:gridCol w:w="9622"/>
        <w:tblGridChange w:id="0">
          <w:tblGrid>
            <w:gridCol w:w="9622"/>
          </w:tblGrid>
        </w:tblGridChange>
      </w:tblGrid>
      <w:tr>
        <w:trPr>
          <w:cantSplit w:val="0"/>
          <w:trHeight w:val="46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54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Materiały własne prowadzącego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5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6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Bilans godzinowy zgodny z CNPS (Całkowity Nakład Pracy Studenta)</w:t>
      </w:r>
    </w:p>
    <w:p w:rsidR="00000000" w:rsidDel="00000000" w:rsidP="00000000" w:rsidRDefault="00000000" w:rsidRPr="00000000" w14:paraId="00000259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592.0" w:type="dxa"/>
        <w:jc w:val="left"/>
        <w:tblInd w:w="-108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000000" w:space="0" w:sz="0" w:val="nil"/>
          <w:insideH w:color="95b3d7" w:space="0" w:sz="4" w:val="single"/>
          <w:insideV w:color="000000" w:space="0" w:sz="0" w:val="nil"/>
        </w:tblBorders>
        <w:tblLayout w:type="fixed"/>
        <w:tblLook w:val="0000"/>
      </w:tblPr>
      <w:tblGrid>
        <w:gridCol w:w="2766"/>
        <w:gridCol w:w="5748"/>
        <w:gridCol w:w="1078"/>
        <w:tblGridChange w:id="0">
          <w:tblGrid>
            <w:gridCol w:w="2766"/>
            <w:gridCol w:w="5748"/>
            <w:gridCol w:w="1078"/>
          </w:tblGrid>
        </w:tblGridChange>
      </w:tblGrid>
      <w:tr>
        <w:trPr>
          <w:cantSplit w:val="1"/>
          <w:trHeight w:val="334" w:hRule="atLeast"/>
          <w:tblHeader w:val="0"/>
        </w:trPr>
        <w:tc>
          <w:tcPr>
            <w:vMerge w:val="restart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5A">
            <w:pPr>
              <w:widowControl w:val="1"/>
              <w:spacing w:line="276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liczba godzin w kontakcie z prowadzącymi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5B">
            <w:pPr>
              <w:widowControl w:val="1"/>
              <w:spacing w:line="276" w:lineRule="auto"/>
              <w:ind w:left="360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Wykład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5C">
            <w:pPr>
              <w:widowControl w:val="1"/>
              <w:spacing w:line="276" w:lineRule="auto"/>
              <w:ind w:left="360" w:firstLine="0"/>
              <w:jc w:val="both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32" w:hRule="atLeast"/>
          <w:tblHeader w:val="0"/>
        </w:trPr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5E">
            <w:pPr>
              <w:widowControl w:val="1"/>
              <w:spacing w:line="276" w:lineRule="auto"/>
              <w:ind w:left="360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Konwersatorium (ćwiczenia, laboratorium itd.)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5F">
            <w:pPr>
              <w:widowControl w:val="1"/>
              <w:spacing w:line="276" w:lineRule="auto"/>
              <w:ind w:left="360" w:firstLine="0"/>
              <w:jc w:val="both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60</w:t>
            </w:r>
          </w:p>
        </w:tc>
      </w:tr>
      <w:tr>
        <w:trPr>
          <w:cantSplit w:val="1"/>
          <w:trHeight w:val="670" w:hRule="atLeast"/>
          <w:tblHeader w:val="0"/>
        </w:trPr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1">
            <w:pPr>
              <w:spacing w:line="276" w:lineRule="auto"/>
              <w:ind w:left="360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Pozostałe godziny kontaktu studenta z prowadzącym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2">
            <w:pPr>
              <w:widowControl w:val="1"/>
              <w:spacing w:line="276" w:lineRule="auto"/>
              <w:ind w:left="360" w:firstLine="0"/>
              <w:jc w:val="both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50</w:t>
            </w:r>
          </w:p>
        </w:tc>
      </w:tr>
      <w:tr>
        <w:trPr>
          <w:cantSplit w:val="1"/>
          <w:trHeight w:val="348" w:hRule="atLeast"/>
          <w:tblHeader w:val="0"/>
        </w:trPr>
        <w:tc>
          <w:tcPr>
            <w:vMerge w:val="restart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3">
            <w:pPr>
              <w:widowControl w:val="1"/>
              <w:spacing w:line="276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liczba godzin pracy studenta bez kontaktu z prowadzącymi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4">
            <w:pPr>
              <w:widowControl w:val="1"/>
              <w:spacing w:line="276" w:lineRule="auto"/>
              <w:ind w:left="360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Lektura w ramach przygotowania do zajęć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5">
            <w:pPr>
              <w:widowControl w:val="1"/>
              <w:spacing w:line="276" w:lineRule="auto"/>
              <w:ind w:left="360" w:firstLine="0"/>
              <w:jc w:val="both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30</w:t>
            </w:r>
          </w:p>
        </w:tc>
      </w:tr>
      <w:tr>
        <w:trPr>
          <w:cantSplit w:val="1"/>
          <w:trHeight w:val="710" w:hRule="atLeast"/>
          <w:tblHeader w:val="0"/>
        </w:trPr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7">
            <w:pPr>
              <w:widowControl w:val="1"/>
              <w:spacing w:line="276" w:lineRule="auto"/>
              <w:ind w:left="360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Przygotowanie krótkiej pracy pisemnej lub referatu po zapoznaniu się z niezbędną literaturą przedmiotu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8">
            <w:pPr>
              <w:widowControl w:val="1"/>
              <w:spacing w:line="276" w:lineRule="auto"/>
              <w:ind w:left="360" w:firstLine="0"/>
              <w:jc w:val="both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15</w:t>
            </w:r>
          </w:p>
        </w:tc>
      </w:tr>
      <w:tr>
        <w:trPr>
          <w:cantSplit w:val="1"/>
          <w:trHeight w:val="731" w:hRule="atLeast"/>
          <w:tblHeader w:val="0"/>
        </w:trPr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A">
            <w:pPr>
              <w:widowControl w:val="1"/>
              <w:spacing w:line="276" w:lineRule="auto"/>
              <w:ind w:left="360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Przygotowanie projektu lub prezentacji na podany temat (praca w grupie)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B">
            <w:pPr>
              <w:widowControl w:val="1"/>
              <w:spacing w:line="276" w:lineRule="auto"/>
              <w:ind w:left="360" w:firstLine="0"/>
              <w:jc w:val="both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25</w:t>
            </w:r>
          </w:p>
        </w:tc>
      </w:tr>
      <w:tr>
        <w:trPr>
          <w:cantSplit w:val="1"/>
          <w:trHeight w:val="365" w:hRule="atLeast"/>
          <w:tblHeader w:val="0"/>
        </w:trPr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D">
            <w:pPr>
              <w:widowControl w:val="1"/>
              <w:spacing w:line="276" w:lineRule="auto"/>
              <w:ind w:left="360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Przygotowanie do egzaminu/zaliczenia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E">
            <w:pPr>
              <w:widowControl w:val="1"/>
              <w:spacing w:line="276" w:lineRule="auto"/>
              <w:ind w:left="360" w:firstLine="0"/>
              <w:jc w:val="both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20</w:t>
            </w:r>
          </w:p>
        </w:tc>
      </w:tr>
      <w:tr>
        <w:trPr>
          <w:cantSplit w:val="0"/>
          <w:trHeight w:val="365" w:hRule="atLeast"/>
          <w:tblHeader w:val="0"/>
        </w:trPr>
        <w:tc>
          <w:tcPr>
            <w:gridSpan w:val="2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F">
            <w:pPr>
              <w:widowControl w:val="1"/>
              <w:spacing w:line="276" w:lineRule="auto"/>
              <w:ind w:left="360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Ogółem bilans czasu pracy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71">
            <w:pPr>
              <w:widowControl w:val="1"/>
              <w:spacing w:line="276" w:lineRule="auto"/>
              <w:ind w:left="360" w:firstLine="0"/>
              <w:jc w:val="both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200</w:t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gridSpan w:val="2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72">
            <w:pPr>
              <w:widowControl w:val="1"/>
              <w:spacing w:line="276" w:lineRule="auto"/>
              <w:ind w:left="360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Liczba punktów ECTS w zależności od przyjętego przelicznika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74">
            <w:pPr>
              <w:widowControl w:val="1"/>
              <w:spacing w:line="276" w:lineRule="auto"/>
              <w:ind w:left="360" w:firstLine="0"/>
              <w:jc w:val="both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a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9" w:type="default"/>
      <w:footerReference r:id="rId20" w:type="default"/>
      <w:pgSz w:h="16838" w:w="11906" w:orient="portrait"/>
      <w:pgMar w:bottom="1134" w:top="1276" w:left="1134" w:right="1134" w:header="454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Verdana"/>
  <w:font w:name="Georgia"/>
  <w:font w:name="Arial"/>
  <w:font w:name="Times New Roman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7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7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76"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8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color w:val="00000a"/>
        <w:sz w:val="24"/>
        <w:szCs w:val="24"/>
        <w:lang w:val="pl-PL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0"/>
      <w:ind w:left="0" w:firstLine="0"/>
      <w:jc w:val="center"/>
    </w:pPr>
    <w:rPr>
      <w:rFonts w:ascii="Verdana" w:cs="Verdana" w:eastAsia="Verdana" w:hAnsi="Verdana"/>
      <w:color w:val="00000a"/>
      <w:sz w:val="28"/>
      <w:szCs w:val="2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Heading1">
    <w:name w:val="Heading 1"/>
    <w:basedOn w:val="Normal"/>
    <w:next w:val="Normal"/>
    <w:autoRedefine w:val="0"/>
    <w:hidden w:val="0"/>
    <w:qFormat w:val="0"/>
    <w:pPr>
      <w:keepNext w:val="1"/>
      <w:widowControl w:val="0"/>
      <w:numPr>
        <w:ilvl w:val="0"/>
        <w:numId w:val="1"/>
      </w:num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Verdana" w:cs="Verdana" w:eastAsia="Times New Roman" w:hAnsi="Verdana"/>
      <w:color w:val="00000a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pl-PL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w w:val="100"/>
      <w:position w:val="-1"/>
      <w:sz w:val="14"/>
      <w:szCs w:val="14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3">
    <w:name w:val="WW8Num2z3"/>
    <w:next w:val="WW8Num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4">
    <w:name w:val="WW8Num2z4"/>
    <w:next w:val="WW8Num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5">
    <w:name w:val="WW8Num2z5"/>
    <w:next w:val="WW8Num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6">
    <w:name w:val="WW8Num2z6"/>
    <w:next w:val="WW8Num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7">
    <w:name w:val="WW8Num2z7"/>
    <w:next w:val="WW8Num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8">
    <w:name w:val="WW8Num2z8"/>
    <w:next w:val="WW8Num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4z1">
    <w:name w:val="WW8Num4z1"/>
    <w:next w:val="WW8Num4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4z2">
    <w:name w:val="WW8Num4z2"/>
    <w:next w:val="WW8Num4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Domyślnaczcionkaakapitu">
    <w:name w:val="Domyślna czcionka akapitu"/>
    <w:next w:val="Domyślnaczcionkaakapitu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Znakinumeracji">
    <w:name w:val="Znaki numeracji"/>
    <w:next w:val="Znakinumeracji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Numerstron">
    <w:name w:val="Numer stron"/>
    <w:next w:val="Numerstron"/>
    <w:autoRedefine w:val="0"/>
    <w:hidden w:val="0"/>
    <w:qFormat w:val="0"/>
    <w:rPr>
      <w:w w:val="100"/>
      <w:position w:val="-1"/>
      <w:sz w:val="14"/>
      <w:szCs w:val="14"/>
      <w:effect w:val="none"/>
      <w:vertAlign w:val="baseline"/>
      <w:cs w:val="0"/>
      <w:em w:val="none"/>
      <w:lang/>
    </w:rPr>
  </w:style>
  <w:style w:type="character" w:styleId="Odwołaniedokomentarza">
    <w:name w:val="Odwołanie do komentarza"/>
    <w:next w:val="Odwołaniedokomentarza"/>
    <w:autoRedefine w:val="0"/>
    <w:hidden w:val="0"/>
    <w:qFormat w:val="0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Znakiprzypisówdolnych">
    <w:name w:val="Znaki przypisów dolnych"/>
    <w:next w:val="Znakiprzypisówdolnych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StopkaZnak">
    <w:name w:val="Stopka Znak"/>
    <w:next w:val="StopkaZnak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TekstdymkaZnak">
    <w:name w:val="Tekst dymka Znak"/>
    <w:next w:val="TekstdymkaZnak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TekstkomentarzaZnak">
    <w:name w:val="Tekst komentarza Znak"/>
    <w:basedOn w:val="Domyślnaczcionkaakapitu"/>
    <w:next w:val="TekstkomentarzaZna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TematkomentarzaZnak">
    <w:name w:val="Temat komentarza Znak"/>
    <w:next w:val="TematkomentarzaZnak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Nagłówek">
    <w:name w:val="Nagłówek"/>
    <w:basedOn w:val="Normal"/>
    <w:next w:val="BodyText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Liberation Sans" w:cs="Arial" w:eastAsia="Microsoft YaHei" w:hAnsi="Liberation Sans"/>
      <w:color w:val="00000a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pl-PL"/>
    </w:rPr>
  </w:style>
  <w:style w:type="paragraph" w:styleId="BodyText">
    <w:name w:val="Body Text"/>
    <w:basedOn w:val="Normal"/>
    <w:next w:val="BodyText"/>
    <w:autoRedefine w:val="0"/>
    <w:hidden w:val="0"/>
    <w:qFormat w:val="0"/>
    <w:pPr>
      <w:widowControl w:val="0"/>
      <w:suppressAutoHyphens w:val="0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List">
    <w:name w:val="List"/>
    <w:basedOn w:val="BodyText"/>
    <w:next w:val="List"/>
    <w:autoRedefine w:val="0"/>
    <w:hidden w:val="0"/>
    <w:qFormat w:val="0"/>
    <w:pPr>
      <w:widowControl w:val="0"/>
      <w:suppressAutoHyphens w:val="0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Caption">
    <w:name w:val="Caption"/>
    <w:basedOn w:val="Normal"/>
    <w:next w:val="Caption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Arial" w:eastAsia="Times New Roman" w:hAnsi="Times New Roman"/>
      <w:i w:val="1"/>
      <w:iCs w:val="1"/>
      <w:color w:val="00000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Indeks">
    <w:name w:val="Indeks"/>
    <w:basedOn w:val="Normal"/>
    <w:next w:val="Indeks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Podpis1">
    <w:name w:val="Podpis1"/>
    <w:basedOn w:val="Normal"/>
    <w:next w:val="Podpis1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i w:val="1"/>
      <w:iCs w:val="1"/>
      <w:color w:val="00000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Header">
    <w:name w:val="Header"/>
    <w:basedOn w:val="Normal"/>
    <w:next w:val="Header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eastAsia="Times New Roman" w:hAnsi="Arial"/>
      <w:color w:val="00000a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pl-PL"/>
    </w:rPr>
  </w:style>
  <w:style w:type="paragraph" w:styleId="Footer">
    <w:name w:val="Footer"/>
    <w:basedOn w:val="Normal"/>
    <w:next w:val="Footer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Zawartośćtabeli">
    <w:name w:val="Zawartość tabeli"/>
    <w:basedOn w:val="Normal"/>
    <w:next w:val="Zawartośćtabeli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Nagłówektabeli">
    <w:name w:val="Nagłówek tabeli"/>
    <w:basedOn w:val="Zawartośćtabeli"/>
    <w:next w:val="Nagłówektabeli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bCs w:val="1"/>
      <w:i w:val="1"/>
      <w:iCs w:val="1"/>
      <w:color w:val="00000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Zawartośćramki">
    <w:name w:val="Zawartość ramki"/>
    <w:basedOn w:val="BodyText"/>
    <w:next w:val="Zawartośćramki"/>
    <w:autoRedefine w:val="0"/>
    <w:hidden w:val="0"/>
    <w:qFormat w:val="0"/>
    <w:pPr>
      <w:widowControl w:val="0"/>
      <w:suppressAutoHyphens w:val="0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Tekstkomentarza">
    <w:name w:val="Tekst komentarza"/>
    <w:basedOn w:val="Normal"/>
    <w:next w:val="Tekstkomentarza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a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l-PL"/>
    </w:rPr>
  </w:style>
  <w:style w:type="paragraph" w:styleId="CommentSubject">
    <w:name w:val="Comment Subject"/>
    <w:basedOn w:val="Tekstkomentarza"/>
    <w:next w:val="CommentSubject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bCs w:val="1"/>
      <w:color w:val="00000a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l-PL"/>
    </w:rPr>
  </w:style>
  <w:style w:type="paragraph" w:styleId="BalloonText">
    <w:name w:val="Balloon Text"/>
    <w:basedOn w:val="Normal"/>
    <w:next w:val="BalloonText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Times New Roman" w:hAnsi="Tahoma"/>
      <w:color w:val="00000a"/>
      <w:w w:val="100"/>
      <w:position w:val="-1"/>
      <w:sz w:val="16"/>
      <w:szCs w:val="16"/>
      <w:effect w:val="none"/>
      <w:vertAlign w:val="baseline"/>
      <w:cs w:val="0"/>
      <w:em w:val="none"/>
      <w:lang w:bidi="ar-SA" w:eastAsia="zh-CN" w:val="pl-PL"/>
    </w:rPr>
  </w:style>
  <w:style w:type="paragraph" w:styleId="FootnoteText">
    <w:name w:val="Footnote Text"/>
    <w:basedOn w:val="Normal"/>
    <w:next w:val="FootnoteText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a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l-PL"/>
    </w:rPr>
  </w:style>
  <w:style w:type="paragraph" w:styleId="Tekstdymka">
    <w:name w:val="Tekst dymka"/>
    <w:basedOn w:val="Normal"/>
    <w:next w:val="Tekstdymka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Times New Roman" w:hAnsi="Tahoma"/>
      <w:color w:val="00000a"/>
      <w:w w:val="100"/>
      <w:position w:val="-1"/>
      <w:sz w:val="16"/>
      <w:szCs w:val="16"/>
      <w:effect w:val="none"/>
      <w:vertAlign w:val="baseline"/>
      <w:cs w:val="0"/>
      <w:em w:val="none"/>
      <w:lang w:bidi="ar-SA" w:eastAsia="zh-CN" w:val="pl-PL"/>
    </w:rPr>
  </w:style>
  <w:style w:type="paragraph" w:styleId="Tematkomentarza">
    <w:name w:val="Temat komentarza"/>
    <w:basedOn w:val="Tekstkomentarza"/>
    <w:next w:val="Tematkomentarza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bCs w:val="1"/>
      <w:color w:val="00000a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l-PL"/>
    </w:rPr>
  </w:style>
  <w:style w:type="numbering" w:styleId="WW8Num1">
    <w:name w:val="WW8Num1"/>
    <w:next w:val="WW8Num1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numbering" w:styleId="WW8Num2">
    <w:name w:val="WW8Num2"/>
    <w:next w:val="WW8Num2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numbering" w:styleId="WW8Num3">
    <w:name w:val="WW8Num3"/>
    <w:next w:val="WW8Num3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numbering" w:styleId="WW8Num4">
    <w:name w:val="WW8Num4"/>
    <w:next w:val="WW8Num4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OC1">
    <w:name w:val="TOC 1"/>
    <w:basedOn w:val="Normal"/>
    <w:next w:val="Normal"/>
    <w:autoRedefine w:val="0"/>
    <w:hidden w:val="0"/>
    <w:qFormat w:val="1"/>
    <w:pPr>
      <w:widowControl w:val="0"/>
      <w:suppressAutoHyphens w:val="0"/>
      <w:autoSpaceDE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Normal(Web)">
    <w:name w:val="Normal (Web)"/>
    <w:basedOn w:val="Normal"/>
    <w:next w:val="Normal(Web)"/>
    <w:autoRedefine w:val="0"/>
    <w:hidden w:val="0"/>
    <w:qFormat w:val="1"/>
    <w:pPr>
      <w:widowControl w:val="1"/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pl-PL" w:val="pl-PL"/>
    </w:rPr>
  </w:style>
  <w:style w:type="paragraph" w:styleId="BalloonText1">
    <w:name w:val="Balloon Text1"/>
    <w:basedOn w:val="Normal"/>
    <w:next w:val="BalloonText1"/>
    <w:autoRedefine w:val="0"/>
    <w:hidden w:val="0"/>
    <w:qFormat w:val="0"/>
    <w:pPr>
      <w:widowControl w:val="0"/>
      <w:suppressAutoHyphens w:val="0"/>
      <w:autoSpaceDE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Times New Roman" w:hAnsi="Tahoma"/>
      <w:color w:val="auto"/>
      <w:w w:val="100"/>
      <w:position w:val="-1"/>
      <w:sz w:val="16"/>
      <w:szCs w:val="16"/>
      <w:effect w:val="none"/>
      <w:vertAlign w:val="baseline"/>
      <w:cs w:val="0"/>
      <w:em w:val="none"/>
      <w:lang w:bidi="ar-SA" w:eastAsia="zh-CN" w:val="pl-PL"/>
    </w:rPr>
  </w:style>
  <w:style w:type="paragraph" w:styleId="TOC2">
    <w:name w:val="TOC 2"/>
    <w:basedOn w:val="Normal"/>
    <w:next w:val="Normal"/>
    <w:autoRedefine w:val="0"/>
    <w:hidden w:val="0"/>
    <w:qFormat w:val="0"/>
    <w:pPr>
      <w:widowControl w:val="0"/>
      <w:suppressAutoHyphens w:val="0"/>
      <w:spacing w:line="1" w:lineRule="atLeast"/>
      <w:ind w:left="240"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character" w:styleId="Hyperlink">
    <w:name w:val="Hyperlink"/>
    <w:next w:val="Hyperlink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28.0" w:type="dxa"/>
        <w:left w:w="19.0" w:type="dxa"/>
        <w:bottom w:w="28.0" w:type="dxa"/>
        <w:right w:w="2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46.0" w:type="dxa"/>
        <w:bottom w:w="55.0" w:type="dxa"/>
        <w:right w:w="5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55.0" w:type="dxa"/>
        <w:bottom w:w="0.0" w:type="dxa"/>
        <w:right w:w="7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55.0" w:type="dxa"/>
        <w:bottom w:w="0.0" w:type="dxa"/>
        <w:right w:w="7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55.0" w:type="dxa"/>
        <w:bottom w:w="0.0" w:type="dxa"/>
        <w:right w:w="7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55.0" w:type="dxa"/>
        <w:bottom w:w="0.0" w:type="dxa"/>
        <w:right w:w="7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28.0" w:type="dxa"/>
        <w:left w:w="19.0" w:type="dxa"/>
        <w:bottom w:w="28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28.0" w:type="dxa"/>
        <w:left w:w="19.0" w:type="dxa"/>
        <w:bottom w:w="28.0" w:type="dxa"/>
        <w:right w:w="28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0.0" w:type="dxa"/>
        <w:left w:w="93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footer" Target="footer1.xml"/><Relationship Id="rId11" Type="http://schemas.openxmlformats.org/officeDocument/2006/relationships/hyperlink" Target="http://www.spbdk.ru/catalog/2670131.html" TargetMode="External"/><Relationship Id="rId10" Type="http://schemas.openxmlformats.org/officeDocument/2006/relationships/hyperlink" Target="http://gct.msu.ru/docs/C2_test.pdf" TargetMode="External"/><Relationship Id="rId13" Type="http://schemas.openxmlformats.org/officeDocument/2006/relationships/hyperlink" Target="http://gramota.ru/" TargetMode="External"/><Relationship Id="rId12" Type="http://schemas.openxmlformats.org/officeDocument/2006/relationships/hyperlink" Target="http://www.ostanowka.pl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gct.msu.ru/docs/C1_standart.pdf" TargetMode="External"/><Relationship Id="rId15" Type="http://schemas.openxmlformats.org/officeDocument/2006/relationships/hyperlink" Target="https://gdz.ru/gdz/class-10/russkii_yazik/grekov" TargetMode="External"/><Relationship Id="rId14" Type="http://schemas.openxmlformats.org/officeDocument/2006/relationships/hyperlink" Target="http://orfo.ruslang.ru/abc" TargetMode="External"/><Relationship Id="rId17" Type="http://schemas.openxmlformats.org/officeDocument/2006/relationships/hyperlink" Target="https://www.youtube.com/" TargetMode="External"/><Relationship Id="rId16" Type="http://schemas.openxmlformats.org/officeDocument/2006/relationships/hyperlink" Target="http://tvkultura.ru/" TargetMode="External"/><Relationship Id="rId5" Type="http://schemas.openxmlformats.org/officeDocument/2006/relationships/styles" Target="styles.xml"/><Relationship Id="rId19" Type="http://schemas.openxmlformats.org/officeDocument/2006/relationships/header" Target="header1.xml"/><Relationship Id="rId6" Type="http://schemas.openxmlformats.org/officeDocument/2006/relationships/customXml" Target="../customXML/item1.xml"/><Relationship Id="rId18" Type="http://schemas.openxmlformats.org/officeDocument/2006/relationships/hyperlink" Target="http://gramota.ru/class/video/" TargetMode="External"/><Relationship Id="rId7" Type="http://schemas.openxmlformats.org/officeDocument/2006/relationships/hyperlink" Target="http://gct.msu.ru/testirovanie/testirovanie-trki/" TargetMode="External"/><Relationship Id="rId8" Type="http://schemas.openxmlformats.org/officeDocument/2006/relationships/hyperlink" Target="http://gct.msu.ru/docs/C1_test.pdf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gBrXRjg1e75U9BYOBzuwdvzbaw==">CgMxLjA4AHIhMVlEd1laRjdObkE1VkViNFVtTzRvWEpzc25CSW9QXzF6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2019-09-20T14:16:00Z</dcterms:created>
  <dc:creator>Barbara Wilk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